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 xml:space="preserve">附件1： </w:t>
      </w:r>
    </w:p>
    <w:p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b/>
          <w:sz w:val="32"/>
          <w:szCs w:val="32"/>
        </w:rPr>
        <w:t>武汉大学20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hAnsiTheme="minorEastAsia"/>
          <w:b/>
          <w:sz w:val="32"/>
          <w:szCs w:val="32"/>
        </w:rPr>
        <w:t>年度研究生实践育人优秀组织单位（共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 w:hAnsiTheme="minorEastAsia"/>
          <w:b/>
          <w:sz w:val="32"/>
          <w:szCs w:val="32"/>
        </w:rPr>
        <w:t>个）</w:t>
      </w:r>
    </w:p>
    <w:p>
      <w:pPr>
        <w:spacing w:line="360" w:lineRule="auto"/>
        <w:rPr>
          <w:rFonts w:hint="eastAsia" w:ascii="仿宋_GB2312" w:eastAsia="仿宋_GB2312" w:hAnsiTheme="minorEastAsia"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哲学学院</w:t>
      </w:r>
    </w:p>
    <w:p>
      <w:pPr>
        <w:spacing w:line="360" w:lineRule="auto"/>
        <w:rPr>
          <w:rFonts w:hint="eastAsia" w:ascii="仿宋_GB2312" w:eastAsia="仿宋_GB2312" w:hAnsiTheme="minorEastAsia"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instrText xml:space="preserve"> HYPERLINK "http://journal.whu.edu.cn/" \t "https://www.whu.edu.cn/jgsz/_blank" </w:instrText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新闻与传播学院</w:t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fldChar w:fldCharType="end"/>
      </w:r>
    </w:p>
    <w:p>
      <w:pPr>
        <w:spacing w:line="360" w:lineRule="auto"/>
        <w:rPr>
          <w:rFonts w:hint="eastAsia" w:ascii="仿宋_GB2312" w:eastAsia="仿宋_GB2312" w:hAnsiTheme="minorEastAsia"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instrText xml:space="preserve"> HYPERLINK "http://www.sgg.whu.edu.cn/" \t "https://www.whu.edu.cn/jgsz/_blank" </w:instrText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测绘学院</w:t>
      </w:r>
      <w:r>
        <w:rPr>
          <w:rFonts w:hint="eastAsia" w:ascii="仿宋_GB2312" w:eastAsia="仿宋_GB2312" w:hAnsiTheme="minorEastAsia"/>
          <w:bCs/>
          <w:sz w:val="32"/>
          <w:szCs w:val="32"/>
          <w:lang w:val="en-US" w:eastAsia="zh-CN"/>
        </w:rPr>
        <w:fldChar w:fldCharType="end"/>
      </w:r>
    </w:p>
    <w:p>
      <w:pPr>
        <w:spacing w:line="360" w:lineRule="auto"/>
        <w:rPr>
          <w:rFonts w:hint="eastAsia" w:ascii="仿宋_GB2312" w:eastAsia="仿宋_GB2312" w:hAnsiTheme="minorEastAsia"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健康学院</w:t>
      </w:r>
    </w:p>
    <w:p>
      <w:pPr>
        <w:spacing w:line="360" w:lineRule="auto"/>
        <w:rPr>
          <w:rFonts w:hint="eastAsia" w:ascii="仿宋_GB2312" w:eastAsia="仿宋_GB2312" w:hAnsiTheme="minorEastAsia"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t>第一临床医学院</w:t>
      </w:r>
    </w:p>
    <w:p>
      <w:pPr>
        <w:spacing w:line="360" w:lineRule="auto"/>
        <w:rPr>
          <w:rFonts w:hint="eastAsia" w:ascii="仿宋_GB2312" w:eastAsia="仿宋_GB2312" w:hAnsiTheme="minorEastAsia"/>
          <w:bCs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bCs/>
          <w:sz w:val="32"/>
          <w:szCs w:val="32"/>
          <w:lang w:eastAsia="zh-CN"/>
        </w:rPr>
        <w:br w:type="page"/>
      </w:r>
    </w:p>
    <w:p>
      <w:pPr>
        <w:spacing w:line="360" w:lineRule="auto"/>
        <w:rPr>
          <w:rFonts w:asciiTheme="minorEastAsia" w:hAnsiTheme="minorEastAsia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9"/>
    <w:rsid w:val="0057310F"/>
    <w:rsid w:val="009B534F"/>
    <w:rsid w:val="00B47AC2"/>
    <w:rsid w:val="00B814A9"/>
    <w:rsid w:val="00D92000"/>
    <w:rsid w:val="00DF22F9"/>
    <w:rsid w:val="00E8160D"/>
    <w:rsid w:val="08E55B0A"/>
    <w:rsid w:val="14316168"/>
    <w:rsid w:val="2A046601"/>
    <w:rsid w:val="346E79A7"/>
    <w:rsid w:val="4A6A5894"/>
    <w:rsid w:val="5C26655F"/>
    <w:rsid w:val="7DD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</Words>
  <Characters>91</Characters>
  <Lines>1</Lines>
  <Paragraphs>1</Paragraphs>
  <TotalTime>3</TotalTime>
  <ScaleCrop>false</ScaleCrop>
  <LinksUpToDate>false</LinksUpToDate>
  <CharactersWithSpaces>105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2017-12-18T11:11:00Z</dcterms:created>
  <dc:creator>Administrator</dc:creator>
  <cp:lastModifiedBy>虎啸山河</cp:lastModifiedBy>
  <cp:lastPrinted>2020-01-02T09:35:00Z</cp:lastPrinted>
  <dcterms:modified xsi:type="dcterms:W3CDTF">2021-01-04T00:47:41Z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