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关于“对口支援河北大学定向师资博士研究生专项计划”的说明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为做好部属院校与部省合建高校对口合作工作，根据教育部2021年博士研究生招生计划对口支援部省合建高校专项计划相关要求，现将相关工作说明如下。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招生专业</w:t>
      </w:r>
    </w:p>
    <w:tbl>
      <w:tblPr>
        <w:tblStyle w:val="3"/>
        <w:tblpPr w:leftFromText="180" w:rightFromText="180" w:vertAnchor="text" w:horzAnchor="page" w:tblpXSpec="center" w:tblpY="3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291"/>
        <w:gridCol w:w="1286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22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28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招生计划</w:t>
            </w:r>
          </w:p>
        </w:tc>
        <w:tc>
          <w:tcPr>
            <w:tcW w:w="394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5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0503</w:t>
            </w:r>
          </w:p>
        </w:tc>
        <w:tc>
          <w:tcPr>
            <w:tcW w:w="22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28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非定向应届硕士毕业生。本硕期间皆为一本院校新闻传播学相关专业。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15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 xml:space="preserve">0602  </w:t>
            </w:r>
          </w:p>
        </w:tc>
        <w:tc>
          <w:tcPr>
            <w:tcW w:w="22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中国史</w:t>
            </w:r>
          </w:p>
        </w:tc>
        <w:tc>
          <w:tcPr>
            <w:tcW w:w="128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非定向应届硕士毕业生。中国古代史1人，侧重中古时期；中国近现代史1人。本硕期间皆为一本院校历史学相关专业。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二、报名办法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报名条件：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按照武汉大学招收攻读博士学位研究生要求完成报名，符合《武汉大学2021年招收攻读博士学位研究生综合考核录取工作公告》及各学院相关要求的非定向应届硕士毕业生。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材料提交：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有意报考“对口支援河北大学定向师资博士研究生专项计划”的考生，请先行与河北大学联系（联系人：宋老师，电话：18803121128），在充分了解定向培养的具体条件和优惠政策的基础上，与河北大学签订《定向培养攻读博士学位研究生推荐协议书》，并填写《武汉大学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专项计划考生登记表》。“对口支援博士师资专项计划”不占用院系原有招生计划。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三、选拔录取及相关待遇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1.报考该计划的考生通过博士生招生考核办法录取后，须与河北大学及我校签订《对口支援高等学校定向培养攻读博士学位研究生协议书》。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2.定向学生在读期间学费及有关费用自理。正常在读期限内河北大学按每月1500元向定向学生发放生活补贴（税前，每年发放10个月）。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3.定向学生学习结束获得博士学位后须到河北大学工作，且服务年限不得少于8年（含8年）。具体工作及薪金待遇由河北大学根据报到时学校人才引进、接收及工作人员招聘等相关要求合理安排。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四、河北大学基本情况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河北大学是教育部与河北省人民政府“部省合建”高校，也是河北省重点支持的国家一流大学建设一层次高校。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河北大学1921年创建于天津，初名天津工商大学，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948更名为津沽大学，1952年改建为天津师范学院，1958年更名为天津师范大学，1960年正式定名河北大学，1970年迁至历史文化名城——保定。河北大学地处京津冀协同发展核心圈，距离雄安新区只有20公里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区位优势得天独厚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学校占地2430亩，建筑面积达133万平方米。全日制在校生约4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000人，其中，硕博士研究生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500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余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人，本科生约3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000人。教职工3300人，其中专任教师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2000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人。拥有两院院士、长江学者、国家杰青、万人计划、国家级教学名师等国家级人才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六十余名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学校建有95个本科专业、46个一级学科硕士点、30种硕士专业学位授权类别，15个一级学科博士点、11个博士后科研流动站，学科专业涉及除军事学以外的全部12大学科门类。化学、材料科学2个学科进入ESI全球排名前1%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建校9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年来，河北大学创造了一系列辉煌的成就，为国家培养了30多万优秀人才。上世纪五十年代，研制出我国第一台模拟电子计算机和2.5兆电子伏特“静电加速器”；1984年产生了河北省第一位博士生导师；1996年引进河北省首位中科院院士；1999年取得河北省本土培养院士的历史性突破；2005年成为河北省第一所省部共建大学；2012年成为中西部高校综合实力提升工程建设高校；2016年进入河北省“双一流”建设一层次高校；2018年，成为全国14所“部省合建”高校之一，纳入教育部直属高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排序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A3D07"/>
    <w:multiLevelType w:val="singleLevel"/>
    <w:tmpl w:val="930A3D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1BCC"/>
    <w:rsid w:val="1B8D1BCC"/>
    <w:rsid w:val="1BC714F8"/>
    <w:rsid w:val="2BEB1309"/>
    <w:rsid w:val="2D512D89"/>
    <w:rsid w:val="4A665F39"/>
    <w:rsid w:val="5ED8057B"/>
    <w:rsid w:val="61D753D3"/>
    <w:rsid w:val="78C00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2020-06-09T03:05:00Z</dcterms:created>
  <dc:creator>宋</dc:creator>
  <cp:lastModifiedBy>陈志瑶</cp:lastModifiedBy>
  <dcterms:modified xsi:type="dcterms:W3CDTF">2021-05-14T08:12:32Z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8B0D71149F7344DDA12676A3754F0B43</vt:lpwstr>
  </property>
</Properties>
</file>